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C3C4A" w14:textId="6156D2A1" w:rsidR="008B63A9" w:rsidRPr="00751C13" w:rsidRDefault="008B63A9" w:rsidP="00424465">
      <w:pPr>
        <w:numPr>
          <w:ilvl w:val="0"/>
          <w:numId w:val="1"/>
        </w:numPr>
        <w:tabs>
          <w:tab w:val="clear" w:pos="720"/>
        </w:tabs>
        <w:spacing w:before="240"/>
        <w:ind w:left="425" w:hanging="425"/>
        <w:jc w:val="both"/>
        <w:rPr>
          <w:rFonts w:ascii="Arial" w:hAnsi="Arial" w:cs="Arial"/>
          <w:bCs/>
          <w:sz w:val="22"/>
          <w:szCs w:val="22"/>
        </w:rPr>
      </w:pPr>
      <w:r w:rsidRPr="00751C13">
        <w:rPr>
          <w:rFonts w:ascii="Arial" w:hAnsi="Arial" w:cs="Arial"/>
          <w:bCs/>
          <w:sz w:val="22"/>
          <w:szCs w:val="22"/>
        </w:rPr>
        <w:t xml:space="preserve">The Queensland Government </w:t>
      </w:r>
      <w:r w:rsidR="002023CC" w:rsidRPr="00751C13">
        <w:rPr>
          <w:rFonts w:ascii="Arial" w:hAnsi="Arial" w:cs="Arial"/>
          <w:bCs/>
          <w:sz w:val="22"/>
          <w:szCs w:val="22"/>
        </w:rPr>
        <w:t xml:space="preserve">is committed to </w:t>
      </w:r>
      <w:r w:rsidR="00BE69B6" w:rsidRPr="00751C13">
        <w:rPr>
          <w:rFonts w:ascii="Arial" w:hAnsi="Arial" w:cs="Arial"/>
          <w:bCs/>
          <w:sz w:val="22"/>
          <w:szCs w:val="22"/>
        </w:rPr>
        <w:t xml:space="preserve">addressing sexual violence and supporting an improved criminal justice system for women and girls as victims, accused persons and offenders. </w:t>
      </w:r>
      <w:r w:rsidR="00730CF0" w:rsidRPr="00751C13">
        <w:rPr>
          <w:rFonts w:ascii="Arial" w:hAnsi="Arial" w:cs="Arial"/>
          <w:bCs/>
          <w:sz w:val="22"/>
          <w:szCs w:val="22"/>
        </w:rPr>
        <w:t xml:space="preserve">The Women’s Safety and Justice Taskforce’s report </w:t>
      </w:r>
      <w:r w:rsidR="00730CF0" w:rsidRPr="00751C13">
        <w:rPr>
          <w:rFonts w:ascii="Arial" w:hAnsi="Arial" w:cs="Arial"/>
          <w:bCs/>
          <w:i/>
          <w:iCs/>
          <w:sz w:val="22"/>
          <w:szCs w:val="22"/>
        </w:rPr>
        <w:t>Hear Her Voice</w:t>
      </w:r>
      <w:r w:rsidR="00730CF0" w:rsidRPr="00751C13">
        <w:rPr>
          <w:rFonts w:ascii="Arial" w:hAnsi="Arial" w:cs="Arial"/>
          <w:bCs/>
          <w:sz w:val="22"/>
          <w:szCs w:val="22"/>
        </w:rPr>
        <w:t xml:space="preserve"> </w:t>
      </w:r>
      <w:r w:rsidR="00730CF0" w:rsidRPr="00751C13">
        <w:rPr>
          <w:rFonts w:ascii="Arial" w:hAnsi="Arial" w:cs="Arial"/>
          <w:bCs/>
          <w:i/>
          <w:iCs/>
          <w:sz w:val="22"/>
          <w:szCs w:val="22"/>
        </w:rPr>
        <w:t xml:space="preserve">– Report </w:t>
      </w:r>
      <w:r w:rsidR="005B1D6D" w:rsidRPr="00751C13">
        <w:rPr>
          <w:rFonts w:ascii="Arial" w:hAnsi="Arial" w:cs="Arial"/>
          <w:bCs/>
          <w:i/>
          <w:iCs/>
          <w:sz w:val="22"/>
          <w:szCs w:val="22"/>
        </w:rPr>
        <w:t>Two</w:t>
      </w:r>
      <w:r w:rsidR="00730CF0" w:rsidRPr="00751C13">
        <w:rPr>
          <w:rFonts w:ascii="Arial" w:hAnsi="Arial" w:cs="Arial"/>
          <w:bCs/>
          <w:i/>
          <w:iCs/>
          <w:sz w:val="22"/>
          <w:szCs w:val="22"/>
        </w:rPr>
        <w:t xml:space="preserve"> – </w:t>
      </w:r>
      <w:r w:rsidR="005B1D6D" w:rsidRPr="00751C13">
        <w:rPr>
          <w:rFonts w:ascii="Arial" w:hAnsi="Arial" w:cs="Arial"/>
          <w:bCs/>
          <w:i/>
          <w:iCs/>
          <w:sz w:val="22"/>
          <w:szCs w:val="22"/>
        </w:rPr>
        <w:t xml:space="preserve">Women and girls’ experiences </w:t>
      </w:r>
      <w:r w:rsidR="00DC2B10" w:rsidRPr="00751C13">
        <w:rPr>
          <w:rFonts w:ascii="Arial" w:hAnsi="Arial" w:cs="Arial"/>
          <w:bCs/>
          <w:i/>
          <w:iCs/>
          <w:sz w:val="22"/>
          <w:szCs w:val="22"/>
        </w:rPr>
        <w:t xml:space="preserve">across </w:t>
      </w:r>
      <w:r w:rsidR="005B1D6D" w:rsidRPr="00751C13">
        <w:rPr>
          <w:rFonts w:ascii="Arial" w:hAnsi="Arial" w:cs="Arial"/>
          <w:bCs/>
          <w:i/>
          <w:iCs/>
          <w:sz w:val="22"/>
          <w:szCs w:val="22"/>
        </w:rPr>
        <w:t>the criminal justice system</w:t>
      </w:r>
      <w:r w:rsidR="00730CF0" w:rsidRPr="00751C13">
        <w:rPr>
          <w:rFonts w:ascii="Arial" w:hAnsi="Arial" w:cs="Arial"/>
          <w:bCs/>
          <w:sz w:val="22"/>
          <w:szCs w:val="22"/>
        </w:rPr>
        <w:t xml:space="preserve"> makes </w:t>
      </w:r>
      <w:r w:rsidR="005B1D6D" w:rsidRPr="00751C13">
        <w:rPr>
          <w:rFonts w:ascii="Arial" w:hAnsi="Arial" w:cs="Arial"/>
          <w:bCs/>
          <w:sz w:val="22"/>
          <w:szCs w:val="22"/>
        </w:rPr>
        <w:t>188</w:t>
      </w:r>
      <w:r w:rsidR="00730CF0" w:rsidRPr="00751C13">
        <w:rPr>
          <w:rFonts w:ascii="Arial" w:hAnsi="Arial" w:cs="Arial"/>
          <w:bCs/>
          <w:sz w:val="22"/>
          <w:szCs w:val="22"/>
        </w:rPr>
        <w:t xml:space="preserve"> recommendations </w:t>
      </w:r>
      <w:r w:rsidR="00DC2B10" w:rsidRPr="00751C13">
        <w:rPr>
          <w:rFonts w:ascii="Arial" w:hAnsi="Arial" w:cs="Arial"/>
          <w:bCs/>
          <w:sz w:val="22"/>
          <w:szCs w:val="22"/>
        </w:rPr>
        <w:t>for Government to improve women and girls’ experiences of the criminal</w:t>
      </w:r>
      <w:r w:rsidR="00730CF0" w:rsidRPr="00751C13">
        <w:rPr>
          <w:rFonts w:ascii="Arial" w:hAnsi="Arial" w:cs="Arial"/>
          <w:bCs/>
          <w:sz w:val="22"/>
          <w:szCs w:val="22"/>
        </w:rPr>
        <w:t xml:space="preserve"> justice system. </w:t>
      </w:r>
    </w:p>
    <w:p w14:paraId="5C5068B8" w14:textId="0AF78656" w:rsidR="008B63A9" w:rsidRPr="00751C13" w:rsidRDefault="00BE69B6" w:rsidP="00424465">
      <w:pPr>
        <w:numPr>
          <w:ilvl w:val="0"/>
          <w:numId w:val="1"/>
        </w:numPr>
        <w:spacing w:before="240"/>
        <w:ind w:left="425" w:hanging="425"/>
        <w:jc w:val="both"/>
        <w:rPr>
          <w:rFonts w:ascii="Arial" w:hAnsi="Arial" w:cs="Arial"/>
          <w:sz w:val="22"/>
          <w:szCs w:val="22"/>
        </w:rPr>
      </w:pPr>
      <w:r w:rsidRPr="00751C13">
        <w:rPr>
          <w:rFonts w:ascii="Arial" w:hAnsi="Arial" w:cs="Arial"/>
          <w:bCs/>
          <w:sz w:val="22"/>
          <w:szCs w:val="22"/>
        </w:rPr>
        <w:t>The Queensland Government response</w:t>
      </w:r>
      <w:r w:rsidR="008632DB" w:rsidRPr="00751C13">
        <w:rPr>
          <w:rFonts w:ascii="Arial" w:hAnsi="Arial" w:cs="Arial"/>
          <w:bCs/>
          <w:sz w:val="22"/>
          <w:szCs w:val="22"/>
        </w:rPr>
        <w:t xml:space="preserve"> considers all recommendations and </w:t>
      </w:r>
      <w:r w:rsidR="00AF6237" w:rsidRPr="00751C13">
        <w:rPr>
          <w:rFonts w:ascii="Arial" w:hAnsi="Arial" w:cs="Arial"/>
          <w:bCs/>
          <w:sz w:val="22"/>
          <w:szCs w:val="22"/>
        </w:rPr>
        <w:t>includes</w:t>
      </w:r>
      <w:r w:rsidRPr="00751C13">
        <w:rPr>
          <w:rFonts w:ascii="Arial" w:hAnsi="Arial" w:cs="Arial"/>
          <w:bCs/>
          <w:sz w:val="22"/>
          <w:szCs w:val="22"/>
        </w:rPr>
        <w:t xml:space="preserve"> legislative, policy and program </w:t>
      </w:r>
      <w:r w:rsidR="001A5C16" w:rsidRPr="00751C13">
        <w:rPr>
          <w:rFonts w:ascii="Arial" w:hAnsi="Arial" w:cs="Arial"/>
          <w:bCs/>
          <w:sz w:val="22"/>
          <w:szCs w:val="22"/>
        </w:rPr>
        <w:t>measures</w:t>
      </w:r>
      <w:r w:rsidRPr="00751C13">
        <w:rPr>
          <w:rFonts w:ascii="Arial" w:hAnsi="Arial" w:cs="Arial"/>
          <w:bCs/>
          <w:sz w:val="22"/>
          <w:szCs w:val="22"/>
        </w:rPr>
        <w:t xml:space="preserve"> that focus agency e</w:t>
      </w:r>
      <w:r w:rsidR="002023CC" w:rsidRPr="00751C13">
        <w:rPr>
          <w:rFonts w:ascii="Arial" w:hAnsi="Arial" w:cs="Arial"/>
          <w:bCs/>
          <w:sz w:val="22"/>
          <w:szCs w:val="22"/>
        </w:rPr>
        <w:t>fforts on:</w:t>
      </w:r>
      <w:r w:rsidR="002023CC" w:rsidRPr="00751C13">
        <w:rPr>
          <w:rFonts w:ascii="Arial" w:hAnsi="Arial" w:cs="Arial"/>
          <w:sz w:val="22"/>
          <w:szCs w:val="22"/>
        </w:rPr>
        <w:t xml:space="preserve"> </w:t>
      </w:r>
    </w:p>
    <w:p w14:paraId="5A083AA2" w14:textId="18167EDF" w:rsidR="00E67B35" w:rsidRPr="00751C13" w:rsidRDefault="00E67B35" w:rsidP="00751C13">
      <w:pPr>
        <w:numPr>
          <w:ilvl w:val="0"/>
          <w:numId w:val="2"/>
        </w:numPr>
        <w:tabs>
          <w:tab w:val="clear" w:pos="814"/>
        </w:tabs>
        <w:spacing w:before="120"/>
        <w:ind w:left="850" w:hanging="425"/>
        <w:jc w:val="both"/>
        <w:rPr>
          <w:rFonts w:ascii="Arial" w:hAnsi="Arial" w:cs="Arial"/>
          <w:bCs/>
          <w:sz w:val="22"/>
          <w:szCs w:val="22"/>
        </w:rPr>
      </w:pPr>
      <w:r w:rsidRPr="00751C13">
        <w:rPr>
          <w:rFonts w:ascii="Arial" w:hAnsi="Arial" w:cs="Arial"/>
          <w:sz w:val="22"/>
          <w:szCs w:val="22"/>
        </w:rPr>
        <w:t>Progressing</w:t>
      </w:r>
      <w:r w:rsidRPr="00751C13">
        <w:rPr>
          <w:rFonts w:ascii="Arial" w:hAnsi="Arial" w:cs="Arial"/>
          <w:bCs/>
          <w:sz w:val="22"/>
          <w:szCs w:val="22"/>
        </w:rPr>
        <w:t xml:space="preserve"> systemic and legislative reform</w:t>
      </w:r>
      <w:r w:rsidR="00EF722E" w:rsidRPr="00751C13">
        <w:rPr>
          <w:rFonts w:ascii="Arial" w:hAnsi="Arial" w:cs="Arial"/>
          <w:bCs/>
          <w:sz w:val="22"/>
          <w:szCs w:val="22"/>
        </w:rPr>
        <w:t>;</w:t>
      </w:r>
    </w:p>
    <w:p w14:paraId="08BE34DE" w14:textId="320DEDEE" w:rsidR="00E67B35" w:rsidRPr="00751C13" w:rsidRDefault="00E67B35" w:rsidP="00751C13">
      <w:pPr>
        <w:numPr>
          <w:ilvl w:val="0"/>
          <w:numId w:val="2"/>
        </w:numPr>
        <w:tabs>
          <w:tab w:val="clear" w:pos="814"/>
        </w:tabs>
        <w:spacing w:before="120"/>
        <w:ind w:left="850" w:hanging="425"/>
        <w:jc w:val="both"/>
        <w:rPr>
          <w:rFonts w:ascii="Arial" w:hAnsi="Arial" w:cs="Arial"/>
          <w:bCs/>
          <w:sz w:val="22"/>
          <w:szCs w:val="22"/>
        </w:rPr>
      </w:pPr>
      <w:r w:rsidRPr="00751C13">
        <w:rPr>
          <w:rFonts w:ascii="Arial" w:hAnsi="Arial" w:cs="Arial"/>
          <w:sz w:val="22"/>
          <w:szCs w:val="22"/>
        </w:rPr>
        <w:t>Placing</w:t>
      </w:r>
      <w:r w:rsidRPr="00751C13">
        <w:rPr>
          <w:rFonts w:ascii="Arial" w:hAnsi="Arial" w:cs="Arial"/>
          <w:bCs/>
          <w:sz w:val="22"/>
          <w:szCs w:val="22"/>
        </w:rPr>
        <w:t xml:space="preserve"> victim-survivors at the centre</w:t>
      </w:r>
      <w:r w:rsidR="00EF722E" w:rsidRPr="00751C13">
        <w:rPr>
          <w:rFonts w:ascii="Arial" w:hAnsi="Arial" w:cs="Arial"/>
          <w:bCs/>
          <w:sz w:val="22"/>
          <w:szCs w:val="22"/>
        </w:rPr>
        <w:t>;</w:t>
      </w:r>
    </w:p>
    <w:p w14:paraId="03FEDE3A" w14:textId="5B6D90C9" w:rsidR="00E67B35" w:rsidRPr="00751C13" w:rsidRDefault="00E67B35" w:rsidP="00751C13">
      <w:pPr>
        <w:numPr>
          <w:ilvl w:val="0"/>
          <w:numId w:val="2"/>
        </w:numPr>
        <w:tabs>
          <w:tab w:val="clear" w:pos="814"/>
        </w:tabs>
        <w:spacing w:before="120"/>
        <w:ind w:left="850" w:hanging="425"/>
        <w:jc w:val="both"/>
        <w:rPr>
          <w:rFonts w:ascii="Arial" w:hAnsi="Arial" w:cs="Arial"/>
          <w:bCs/>
          <w:sz w:val="22"/>
          <w:szCs w:val="22"/>
        </w:rPr>
      </w:pPr>
      <w:r w:rsidRPr="00751C13">
        <w:rPr>
          <w:rFonts w:ascii="Arial" w:hAnsi="Arial" w:cs="Arial"/>
          <w:sz w:val="22"/>
          <w:szCs w:val="22"/>
        </w:rPr>
        <w:t>Working</w:t>
      </w:r>
      <w:r w:rsidRPr="00751C13">
        <w:rPr>
          <w:rFonts w:ascii="Arial" w:hAnsi="Arial" w:cs="Arial"/>
          <w:bCs/>
          <w:sz w:val="22"/>
          <w:szCs w:val="22"/>
        </w:rPr>
        <w:t xml:space="preserve"> with First Nations communities</w:t>
      </w:r>
      <w:r w:rsidR="00EF722E" w:rsidRPr="00751C13">
        <w:rPr>
          <w:rFonts w:ascii="Arial" w:hAnsi="Arial" w:cs="Arial"/>
          <w:bCs/>
          <w:sz w:val="22"/>
          <w:szCs w:val="22"/>
        </w:rPr>
        <w:t>;</w:t>
      </w:r>
    </w:p>
    <w:p w14:paraId="63A005AD" w14:textId="15585A3F" w:rsidR="00E67B35" w:rsidRPr="00751C13" w:rsidRDefault="00E67B35" w:rsidP="00751C13">
      <w:pPr>
        <w:numPr>
          <w:ilvl w:val="0"/>
          <w:numId w:val="2"/>
        </w:numPr>
        <w:tabs>
          <w:tab w:val="clear" w:pos="814"/>
        </w:tabs>
        <w:spacing w:before="120"/>
        <w:ind w:left="850" w:hanging="425"/>
        <w:jc w:val="both"/>
        <w:rPr>
          <w:rFonts w:ascii="Arial" w:hAnsi="Arial" w:cs="Arial"/>
          <w:bCs/>
          <w:sz w:val="22"/>
          <w:szCs w:val="22"/>
        </w:rPr>
      </w:pPr>
      <w:r w:rsidRPr="00751C13">
        <w:rPr>
          <w:rFonts w:ascii="Arial" w:hAnsi="Arial" w:cs="Arial"/>
          <w:sz w:val="22"/>
          <w:szCs w:val="22"/>
        </w:rPr>
        <w:t>Reshaping</w:t>
      </w:r>
      <w:r w:rsidRPr="00751C13">
        <w:rPr>
          <w:rFonts w:ascii="Arial" w:hAnsi="Arial" w:cs="Arial"/>
          <w:bCs/>
          <w:sz w:val="22"/>
          <w:szCs w:val="22"/>
        </w:rPr>
        <w:t xml:space="preserve"> community attitudes about sexual consent and sexual violence</w:t>
      </w:r>
      <w:r w:rsidR="00EF722E" w:rsidRPr="00751C13">
        <w:rPr>
          <w:rFonts w:ascii="Arial" w:hAnsi="Arial" w:cs="Arial"/>
          <w:bCs/>
          <w:sz w:val="22"/>
          <w:szCs w:val="22"/>
        </w:rPr>
        <w:t>;</w:t>
      </w:r>
    </w:p>
    <w:p w14:paraId="0D0696F1" w14:textId="798AD396" w:rsidR="00E67B35" w:rsidRPr="00751C13" w:rsidRDefault="00E67B35" w:rsidP="00751C13">
      <w:pPr>
        <w:numPr>
          <w:ilvl w:val="0"/>
          <w:numId w:val="2"/>
        </w:numPr>
        <w:tabs>
          <w:tab w:val="clear" w:pos="814"/>
        </w:tabs>
        <w:spacing w:before="120"/>
        <w:ind w:left="850" w:hanging="425"/>
        <w:jc w:val="both"/>
        <w:rPr>
          <w:rFonts w:ascii="Arial" w:hAnsi="Arial" w:cs="Arial"/>
          <w:bCs/>
          <w:sz w:val="22"/>
          <w:szCs w:val="22"/>
        </w:rPr>
      </w:pPr>
      <w:r w:rsidRPr="00751C13">
        <w:rPr>
          <w:rFonts w:ascii="Arial" w:hAnsi="Arial" w:cs="Arial"/>
          <w:sz w:val="22"/>
          <w:szCs w:val="22"/>
        </w:rPr>
        <w:t>Meeting</w:t>
      </w:r>
      <w:r w:rsidRPr="00751C13">
        <w:rPr>
          <w:rFonts w:ascii="Arial" w:hAnsi="Arial" w:cs="Arial"/>
          <w:bCs/>
          <w:sz w:val="22"/>
          <w:szCs w:val="22"/>
        </w:rPr>
        <w:t xml:space="preserve"> demand for sexual violence support services across the state</w:t>
      </w:r>
      <w:r w:rsidR="00EF722E" w:rsidRPr="00751C13">
        <w:rPr>
          <w:rFonts w:ascii="Arial" w:hAnsi="Arial" w:cs="Arial"/>
          <w:bCs/>
          <w:sz w:val="22"/>
          <w:szCs w:val="22"/>
        </w:rPr>
        <w:t>;</w:t>
      </w:r>
    </w:p>
    <w:p w14:paraId="50D94DE7" w14:textId="5DE4243E" w:rsidR="00E67B35" w:rsidRPr="00751C13" w:rsidRDefault="00E67B35" w:rsidP="00751C13">
      <w:pPr>
        <w:numPr>
          <w:ilvl w:val="0"/>
          <w:numId w:val="2"/>
        </w:numPr>
        <w:tabs>
          <w:tab w:val="clear" w:pos="814"/>
        </w:tabs>
        <w:spacing w:before="120"/>
        <w:ind w:left="850" w:hanging="425"/>
        <w:jc w:val="both"/>
        <w:rPr>
          <w:rFonts w:ascii="Arial" w:hAnsi="Arial" w:cs="Arial"/>
          <w:bCs/>
          <w:sz w:val="22"/>
          <w:szCs w:val="22"/>
        </w:rPr>
      </w:pPr>
      <w:r w:rsidRPr="00751C13">
        <w:rPr>
          <w:rFonts w:ascii="Arial" w:hAnsi="Arial" w:cs="Arial"/>
          <w:sz w:val="22"/>
          <w:szCs w:val="22"/>
        </w:rPr>
        <w:t>Appropriate</w:t>
      </w:r>
      <w:r w:rsidRPr="00751C13">
        <w:rPr>
          <w:rFonts w:ascii="Arial" w:hAnsi="Arial" w:cs="Arial"/>
          <w:bCs/>
          <w:sz w:val="22"/>
          <w:szCs w:val="22"/>
        </w:rPr>
        <w:t xml:space="preserve"> court management and sentencing for women and girls as accused</w:t>
      </w:r>
      <w:r w:rsidR="00EF722E" w:rsidRPr="00751C13">
        <w:rPr>
          <w:rFonts w:ascii="Arial" w:hAnsi="Arial" w:cs="Arial"/>
          <w:bCs/>
          <w:sz w:val="22"/>
          <w:szCs w:val="22"/>
        </w:rPr>
        <w:t>;</w:t>
      </w:r>
    </w:p>
    <w:p w14:paraId="3B8E7328" w14:textId="144F3704" w:rsidR="00E67B35" w:rsidRPr="00751C13" w:rsidRDefault="00E67B35" w:rsidP="00751C13">
      <w:pPr>
        <w:numPr>
          <w:ilvl w:val="0"/>
          <w:numId w:val="2"/>
        </w:numPr>
        <w:tabs>
          <w:tab w:val="clear" w:pos="814"/>
        </w:tabs>
        <w:spacing w:before="120"/>
        <w:ind w:left="850" w:hanging="425"/>
        <w:jc w:val="both"/>
        <w:rPr>
          <w:rFonts w:ascii="Arial" w:hAnsi="Arial" w:cs="Arial"/>
          <w:bCs/>
          <w:sz w:val="22"/>
          <w:szCs w:val="22"/>
        </w:rPr>
      </w:pPr>
      <w:r w:rsidRPr="00751C13">
        <w:rPr>
          <w:rFonts w:ascii="Arial" w:hAnsi="Arial" w:cs="Arial"/>
          <w:sz w:val="22"/>
          <w:szCs w:val="22"/>
        </w:rPr>
        <w:t>Delivering</w:t>
      </w:r>
      <w:r w:rsidRPr="00751C13">
        <w:rPr>
          <w:rFonts w:ascii="Arial" w:hAnsi="Arial" w:cs="Arial"/>
          <w:bCs/>
          <w:sz w:val="22"/>
          <w:szCs w:val="22"/>
        </w:rPr>
        <w:t xml:space="preserve"> justice</w:t>
      </w:r>
      <w:r w:rsidR="00EF722E" w:rsidRPr="00751C13">
        <w:rPr>
          <w:rFonts w:ascii="Arial" w:hAnsi="Arial" w:cs="Arial"/>
          <w:bCs/>
          <w:sz w:val="22"/>
          <w:szCs w:val="22"/>
        </w:rPr>
        <w:t>;</w:t>
      </w:r>
      <w:r w:rsidRPr="00751C13">
        <w:rPr>
          <w:rFonts w:ascii="Arial" w:hAnsi="Arial" w:cs="Arial"/>
          <w:bCs/>
          <w:sz w:val="22"/>
          <w:szCs w:val="22"/>
        </w:rPr>
        <w:t xml:space="preserve"> </w:t>
      </w:r>
    </w:p>
    <w:p w14:paraId="62E49002" w14:textId="2D1CBACA" w:rsidR="00E67B35" w:rsidRPr="00751C13" w:rsidRDefault="00E67B35" w:rsidP="00751C13">
      <w:pPr>
        <w:numPr>
          <w:ilvl w:val="0"/>
          <w:numId w:val="2"/>
        </w:numPr>
        <w:tabs>
          <w:tab w:val="clear" w:pos="814"/>
        </w:tabs>
        <w:spacing w:before="120"/>
        <w:ind w:left="850" w:hanging="425"/>
        <w:jc w:val="both"/>
        <w:rPr>
          <w:rFonts w:ascii="Arial" w:hAnsi="Arial" w:cs="Arial"/>
          <w:bCs/>
          <w:sz w:val="22"/>
          <w:szCs w:val="22"/>
        </w:rPr>
      </w:pPr>
      <w:r w:rsidRPr="00751C13">
        <w:rPr>
          <w:rFonts w:ascii="Arial" w:hAnsi="Arial" w:cs="Arial"/>
          <w:sz w:val="22"/>
          <w:szCs w:val="22"/>
        </w:rPr>
        <w:t>Rehabilitating</w:t>
      </w:r>
      <w:r w:rsidRPr="00751C13">
        <w:rPr>
          <w:rFonts w:ascii="Arial" w:hAnsi="Arial" w:cs="Arial"/>
          <w:bCs/>
          <w:sz w:val="22"/>
          <w:szCs w:val="22"/>
        </w:rPr>
        <w:t xml:space="preserve"> women in prison and girls in detention</w:t>
      </w:r>
      <w:r w:rsidR="00EF722E" w:rsidRPr="00751C13">
        <w:rPr>
          <w:rFonts w:ascii="Arial" w:hAnsi="Arial" w:cs="Arial"/>
          <w:bCs/>
          <w:sz w:val="22"/>
          <w:szCs w:val="22"/>
        </w:rPr>
        <w:t>; and</w:t>
      </w:r>
    </w:p>
    <w:p w14:paraId="0C5756E4" w14:textId="4236968C" w:rsidR="00E67B35" w:rsidRPr="00751C13" w:rsidRDefault="00E67B35" w:rsidP="00751C13">
      <w:pPr>
        <w:numPr>
          <w:ilvl w:val="0"/>
          <w:numId w:val="2"/>
        </w:numPr>
        <w:tabs>
          <w:tab w:val="clear" w:pos="814"/>
        </w:tabs>
        <w:spacing w:before="120"/>
        <w:ind w:left="850" w:hanging="425"/>
        <w:jc w:val="both"/>
        <w:rPr>
          <w:rFonts w:ascii="Arial" w:hAnsi="Arial" w:cs="Arial"/>
          <w:bCs/>
          <w:sz w:val="22"/>
          <w:szCs w:val="22"/>
        </w:rPr>
      </w:pPr>
      <w:r w:rsidRPr="00751C13">
        <w:rPr>
          <w:rFonts w:ascii="Arial" w:hAnsi="Arial" w:cs="Arial"/>
          <w:sz w:val="22"/>
          <w:szCs w:val="22"/>
        </w:rPr>
        <w:t>Measuring</w:t>
      </w:r>
      <w:r w:rsidRPr="00751C13">
        <w:rPr>
          <w:rFonts w:ascii="Arial" w:hAnsi="Arial" w:cs="Arial"/>
          <w:bCs/>
          <w:sz w:val="22"/>
          <w:szCs w:val="22"/>
        </w:rPr>
        <w:t xml:space="preserve"> our performance - governance, monitoring and evaluation</w:t>
      </w:r>
      <w:r w:rsidR="00EF722E" w:rsidRPr="00751C13">
        <w:rPr>
          <w:rFonts w:ascii="Arial" w:hAnsi="Arial" w:cs="Arial"/>
          <w:bCs/>
          <w:sz w:val="22"/>
          <w:szCs w:val="22"/>
        </w:rPr>
        <w:t>.</w:t>
      </w:r>
    </w:p>
    <w:p w14:paraId="32F099FE" w14:textId="0105C07C" w:rsidR="00280DCA" w:rsidRPr="00751C13" w:rsidRDefault="00280DCA" w:rsidP="0042446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425" w:hanging="425"/>
        <w:jc w:val="both"/>
        <w:rPr>
          <w:rFonts w:ascii="Arial" w:hAnsi="Arial" w:cs="Arial"/>
          <w:bCs/>
          <w:sz w:val="22"/>
          <w:szCs w:val="22"/>
        </w:rPr>
      </w:pPr>
      <w:r w:rsidRPr="00751C13">
        <w:rPr>
          <w:rFonts w:ascii="Arial" w:hAnsi="Arial" w:cs="Arial"/>
          <w:sz w:val="22"/>
          <w:szCs w:val="22"/>
          <w:u w:val="single"/>
        </w:rPr>
        <w:t>Cabinet approved</w:t>
      </w:r>
      <w:r w:rsidR="008B63A9" w:rsidRPr="00751C13">
        <w:rPr>
          <w:rFonts w:ascii="Arial" w:hAnsi="Arial" w:cs="Arial"/>
          <w:sz w:val="22"/>
          <w:szCs w:val="22"/>
        </w:rPr>
        <w:t xml:space="preserve"> </w:t>
      </w:r>
      <w:r w:rsidR="005B1D6D" w:rsidRPr="00751C13">
        <w:rPr>
          <w:rFonts w:ascii="Arial" w:hAnsi="Arial" w:cs="Arial"/>
          <w:sz w:val="22"/>
          <w:szCs w:val="22"/>
        </w:rPr>
        <w:t xml:space="preserve">the </w:t>
      </w:r>
      <w:r w:rsidR="00EF722E" w:rsidRPr="00751C13">
        <w:rPr>
          <w:rFonts w:ascii="Arial" w:hAnsi="Arial" w:cs="Arial"/>
          <w:sz w:val="22"/>
          <w:szCs w:val="22"/>
        </w:rPr>
        <w:t xml:space="preserve">Queensland </w:t>
      </w:r>
      <w:r w:rsidR="005B1D6D" w:rsidRPr="00751C13">
        <w:rPr>
          <w:rFonts w:ascii="Arial" w:hAnsi="Arial" w:cs="Arial"/>
          <w:sz w:val="22"/>
          <w:szCs w:val="22"/>
        </w:rPr>
        <w:t xml:space="preserve">Government response to the </w:t>
      </w:r>
      <w:r w:rsidR="00EF722E" w:rsidRPr="00751C13">
        <w:rPr>
          <w:rFonts w:ascii="Arial" w:hAnsi="Arial" w:cs="Arial"/>
          <w:bCs/>
          <w:sz w:val="22"/>
          <w:szCs w:val="22"/>
        </w:rPr>
        <w:t xml:space="preserve">Women’s Safety and Justice Taskforce’s report </w:t>
      </w:r>
      <w:r w:rsidR="00EF722E" w:rsidRPr="00751C13">
        <w:rPr>
          <w:rFonts w:ascii="Arial" w:hAnsi="Arial" w:cs="Arial"/>
          <w:bCs/>
          <w:i/>
          <w:iCs/>
          <w:sz w:val="22"/>
          <w:szCs w:val="22"/>
        </w:rPr>
        <w:t>Hear Her Voice</w:t>
      </w:r>
      <w:r w:rsidR="00EF722E" w:rsidRPr="00751C13">
        <w:rPr>
          <w:rFonts w:ascii="Arial" w:hAnsi="Arial" w:cs="Arial"/>
          <w:bCs/>
          <w:sz w:val="22"/>
          <w:szCs w:val="22"/>
        </w:rPr>
        <w:t xml:space="preserve"> </w:t>
      </w:r>
      <w:r w:rsidR="00EF722E" w:rsidRPr="00751C13">
        <w:rPr>
          <w:rFonts w:ascii="Arial" w:hAnsi="Arial" w:cs="Arial"/>
          <w:bCs/>
          <w:i/>
          <w:iCs/>
          <w:sz w:val="22"/>
          <w:szCs w:val="22"/>
        </w:rPr>
        <w:t>– Report Two – Women and girls’ experiences across the criminal justice system</w:t>
      </w:r>
      <w:r w:rsidR="00EF722E" w:rsidRPr="00751C13">
        <w:rPr>
          <w:rFonts w:ascii="Arial" w:hAnsi="Arial" w:cs="Arial"/>
          <w:bCs/>
          <w:sz w:val="22"/>
          <w:szCs w:val="22"/>
        </w:rPr>
        <w:t xml:space="preserve"> </w:t>
      </w:r>
      <w:r w:rsidR="005B1D6D" w:rsidRPr="00751C13">
        <w:rPr>
          <w:rFonts w:ascii="Arial" w:hAnsi="Arial" w:cs="Arial"/>
          <w:sz w:val="22"/>
          <w:szCs w:val="22"/>
        </w:rPr>
        <w:t>for publication</w:t>
      </w:r>
      <w:r w:rsidR="00220D66" w:rsidRPr="00751C13">
        <w:rPr>
          <w:rFonts w:ascii="Arial" w:hAnsi="Arial" w:cs="Arial"/>
          <w:sz w:val="22"/>
          <w:szCs w:val="22"/>
        </w:rPr>
        <w:t xml:space="preserve"> and tabling in the Queensland Parliament</w:t>
      </w:r>
      <w:r w:rsidR="005B1D6D" w:rsidRPr="00751C13">
        <w:rPr>
          <w:rFonts w:ascii="Arial" w:hAnsi="Arial" w:cs="Arial"/>
          <w:sz w:val="22"/>
          <w:szCs w:val="22"/>
        </w:rPr>
        <w:t>.</w:t>
      </w:r>
    </w:p>
    <w:p w14:paraId="50016609" w14:textId="14E2BAF1" w:rsidR="00D6589B" w:rsidRPr="00751C13" w:rsidRDefault="00D6589B" w:rsidP="00EB7CAB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425" w:hanging="425"/>
        <w:rPr>
          <w:rFonts w:ascii="Arial" w:hAnsi="Arial" w:cs="Arial"/>
          <w:sz w:val="22"/>
          <w:szCs w:val="22"/>
        </w:rPr>
      </w:pPr>
      <w:r w:rsidRPr="00751C13">
        <w:rPr>
          <w:rFonts w:ascii="Arial" w:hAnsi="Arial" w:cs="Arial"/>
          <w:i/>
          <w:sz w:val="22"/>
          <w:szCs w:val="22"/>
          <w:u w:val="single"/>
        </w:rPr>
        <w:t>Attachments</w:t>
      </w:r>
      <w:r w:rsidR="00751C13">
        <w:rPr>
          <w:rFonts w:ascii="Arial" w:hAnsi="Arial" w:cs="Arial"/>
          <w:iCs/>
          <w:sz w:val="22"/>
          <w:szCs w:val="22"/>
        </w:rPr>
        <w:t>:</w:t>
      </w:r>
    </w:p>
    <w:p w14:paraId="1CBB53BC" w14:textId="1F3F80D3" w:rsidR="008B63A9" w:rsidRPr="00751C13" w:rsidRDefault="00B9422F" w:rsidP="00751C13">
      <w:pPr>
        <w:numPr>
          <w:ilvl w:val="0"/>
          <w:numId w:val="2"/>
        </w:numPr>
        <w:tabs>
          <w:tab w:val="clear" w:pos="814"/>
        </w:tabs>
        <w:spacing w:before="120"/>
        <w:ind w:left="850" w:hanging="425"/>
        <w:jc w:val="both"/>
        <w:rPr>
          <w:rFonts w:ascii="Arial" w:hAnsi="Arial" w:cs="Arial"/>
          <w:sz w:val="22"/>
          <w:szCs w:val="22"/>
        </w:rPr>
      </w:pPr>
      <w:hyperlink r:id="rId10" w:history="1">
        <w:r w:rsidR="00297DBE" w:rsidRPr="00484CB0">
          <w:rPr>
            <w:rStyle w:val="Hyperlink"/>
            <w:rFonts w:ascii="Arial" w:hAnsi="Arial" w:cs="Arial"/>
            <w:sz w:val="22"/>
            <w:szCs w:val="22"/>
          </w:rPr>
          <w:t xml:space="preserve">Queensland </w:t>
        </w:r>
        <w:r w:rsidR="008B63A9" w:rsidRPr="00484CB0">
          <w:rPr>
            <w:rStyle w:val="Hyperlink"/>
            <w:rFonts w:ascii="Arial" w:hAnsi="Arial" w:cs="Arial"/>
            <w:sz w:val="22"/>
            <w:szCs w:val="22"/>
          </w:rPr>
          <w:t xml:space="preserve">Government response to the Women’s Safety and Justice Taskforce report, </w:t>
        </w:r>
        <w:r w:rsidR="008B63A9" w:rsidRPr="00484CB0">
          <w:rPr>
            <w:rStyle w:val="Hyperlink"/>
            <w:rFonts w:ascii="Arial" w:hAnsi="Arial" w:cs="Arial"/>
            <w:i/>
            <w:iCs/>
            <w:sz w:val="22"/>
            <w:szCs w:val="22"/>
          </w:rPr>
          <w:t xml:space="preserve">Hear Her Voice – Report </w:t>
        </w:r>
        <w:r w:rsidR="007951FF" w:rsidRPr="00484CB0">
          <w:rPr>
            <w:rStyle w:val="Hyperlink"/>
            <w:rFonts w:ascii="Arial" w:hAnsi="Arial" w:cs="Arial"/>
            <w:i/>
            <w:iCs/>
            <w:sz w:val="22"/>
            <w:szCs w:val="22"/>
          </w:rPr>
          <w:t>Two</w:t>
        </w:r>
        <w:r w:rsidR="008B63A9" w:rsidRPr="00484CB0">
          <w:rPr>
            <w:rStyle w:val="Hyperlink"/>
            <w:rFonts w:ascii="Arial" w:hAnsi="Arial" w:cs="Arial"/>
            <w:i/>
            <w:iCs/>
            <w:sz w:val="22"/>
            <w:szCs w:val="22"/>
          </w:rPr>
          <w:t xml:space="preserve"> – </w:t>
        </w:r>
        <w:r w:rsidR="007951FF" w:rsidRPr="00484CB0">
          <w:rPr>
            <w:rStyle w:val="Hyperlink"/>
            <w:rFonts w:ascii="Arial" w:hAnsi="Arial" w:cs="Arial"/>
            <w:i/>
            <w:iCs/>
            <w:sz w:val="22"/>
            <w:szCs w:val="22"/>
          </w:rPr>
          <w:t xml:space="preserve">Women and girls’ experiences </w:t>
        </w:r>
        <w:r w:rsidR="00DC2B10" w:rsidRPr="00484CB0">
          <w:rPr>
            <w:rStyle w:val="Hyperlink"/>
            <w:rFonts w:ascii="Arial" w:hAnsi="Arial" w:cs="Arial"/>
            <w:i/>
            <w:iCs/>
            <w:sz w:val="22"/>
            <w:szCs w:val="22"/>
          </w:rPr>
          <w:t xml:space="preserve">across </w:t>
        </w:r>
        <w:r w:rsidR="007951FF" w:rsidRPr="00484CB0">
          <w:rPr>
            <w:rStyle w:val="Hyperlink"/>
            <w:rFonts w:ascii="Arial" w:hAnsi="Arial" w:cs="Arial"/>
            <w:i/>
            <w:iCs/>
            <w:sz w:val="22"/>
            <w:szCs w:val="22"/>
          </w:rPr>
          <w:t>the criminal justice system</w:t>
        </w:r>
      </w:hyperlink>
    </w:p>
    <w:sectPr w:rsidR="008B63A9" w:rsidRPr="00751C13" w:rsidSect="00751C13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56F5A" w14:textId="77777777" w:rsidR="00F24C54" w:rsidRDefault="00F24C54" w:rsidP="00D6589B">
      <w:r>
        <w:separator/>
      </w:r>
    </w:p>
  </w:endnote>
  <w:endnote w:type="continuationSeparator" w:id="0">
    <w:p w14:paraId="593D3368" w14:textId="77777777" w:rsidR="00F24C54" w:rsidRDefault="00F24C54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8172E" w14:textId="77777777" w:rsidR="00F24C54" w:rsidRDefault="00F24C54" w:rsidP="00D6589B">
      <w:r>
        <w:separator/>
      </w:r>
    </w:p>
  </w:footnote>
  <w:footnote w:type="continuationSeparator" w:id="0">
    <w:p w14:paraId="5E001DCF" w14:textId="77777777" w:rsidR="00F24C54" w:rsidRDefault="00F24C54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C2FCF" w14:textId="77777777" w:rsidR="00751C13" w:rsidRPr="00937A4A" w:rsidRDefault="00751C13" w:rsidP="00751C1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56631973" w14:textId="77777777" w:rsidR="00751C13" w:rsidRPr="00937A4A" w:rsidRDefault="00751C13" w:rsidP="00751C1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32D43748" w14:textId="70423F8A" w:rsidR="00751C13" w:rsidRPr="00937A4A" w:rsidRDefault="00751C13" w:rsidP="00751C1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November 2022</w:t>
    </w:r>
  </w:p>
  <w:p w14:paraId="12598B38" w14:textId="12D0C41D" w:rsidR="00751C13" w:rsidRDefault="00751C13" w:rsidP="00751C1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751C13">
      <w:rPr>
        <w:rFonts w:ascii="Arial" w:hAnsi="Arial" w:cs="Arial"/>
        <w:b/>
        <w:sz w:val="22"/>
        <w:szCs w:val="22"/>
        <w:u w:val="single"/>
      </w:rPr>
      <w:t>Queensland Government response to the Women’s Safety and Justice Taskforce Report, Hear her voice – Report Two – Women and girls’ experiences across the criminal justice system</w:t>
    </w:r>
  </w:p>
  <w:p w14:paraId="103E9074" w14:textId="40B74DF9" w:rsidR="00751C13" w:rsidRDefault="00751C13" w:rsidP="00751C1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86086C">
      <w:rPr>
        <w:rFonts w:ascii="Arial" w:hAnsi="Arial" w:cs="Arial"/>
        <w:b/>
        <w:sz w:val="22"/>
        <w:szCs w:val="22"/>
        <w:u w:val="single"/>
      </w:rPr>
      <w:t>Attorney-General and Minister for Justice, Minister for Women and Minister for the Prevention of Domestic and Family Violence</w:t>
    </w:r>
  </w:p>
  <w:p w14:paraId="062F4254" w14:textId="30B4D722" w:rsidR="00751C13" w:rsidRDefault="00751C13" w:rsidP="00424465">
    <w:pPr>
      <w:pStyle w:val="Head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Police and Corrective Services and Minister for Fire and Emergency Services</w:t>
    </w:r>
  </w:p>
  <w:p w14:paraId="4B3872F4" w14:textId="77777777" w:rsidR="00751C13" w:rsidRDefault="00751C13" w:rsidP="00751C13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14D5"/>
    <w:multiLevelType w:val="hybridMultilevel"/>
    <w:tmpl w:val="4580C4C4"/>
    <w:lvl w:ilvl="0" w:tplc="C7909C5E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153634B8"/>
    <w:lvl w:ilvl="0" w:tplc="FE20D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C09001B">
      <w:start w:val="1"/>
      <w:numFmt w:val="lowerRoman"/>
      <w:lvlText w:val="%2."/>
      <w:lvlJc w:val="right"/>
      <w:pPr>
        <w:tabs>
          <w:tab w:val="num" w:pos="1443"/>
        </w:tabs>
        <w:ind w:left="1443" w:hanging="363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2702604">
    <w:abstractNumId w:val="2"/>
  </w:num>
  <w:num w:numId="2" w16cid:durableId="1606232703">
    <w:abstractNumId w:val="1"/>
  </w:num>
  <w:num w:numId="3" w16cid:durableId="510333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DCA"/>
    <w:rsid w:val="0000201D"/>
    <w:rsid w:val="00080F8F"/>
    <w:rsid w:val="00092535"/>
    <w:rsid w:val="0010384C"/>
    <w:rsid w:val="00130203"/>
    <w:rsid w:val="00152095"/>
    <w:rsid w:val="00174117"/>
    <w:rsid w:val="001A5C16"/>
    <w:rsid w:val="002023CC"/>
    <w:rsid w:val="00212AE3"/>
    <w:rsid w:val="0021319A"/>
    <w:rsid w:val="00220D66"/>
    <w:rsid w:val="00221F1F"/>
    <w:rsid w:val="0022748E"/>
    <w:rsid w:val="002328E2"/>
    <w:rsid w:val="00280DCA"/>
    <w:rsid w:val="00297DBE"/>
    <w:rsid w:val="003146CF"/>
    <w:rsid w:val="00335439"/>
    <w:rsid w:val="0034156D"/>
    <w:rsid w:val="0038442C"/>
    <w:rsid w:val="003A3BDD"/>
    <w:rsid w:val="003B23F9"/>
    <w:rsid w:val="00400610"/>
    <w:rsid w:val="00424465"/>
    <w:rsid w:val="0043543B"/>
    <w:rsid w:val="00474691"/>
    <w:rsid w:val="004801AA"/>
    <w:rsid w:val="00484CB0"/>
    <w:rsid w:val="00491CC6"/>
    <w:rsid w:val="00501C66"/>
    <w:rsid w:val="00506C07"/>
    <w:rsid w:val="00521EDA"/>
    <w:rsid w:val="005304D9"/>
    <w:rsid w:val="0053314F"/>
    <w:rsid w:val="00550873"/>
    <w:rsid w:val="005B1D6D"/>
    <w:rsid w:val="005C148C"/>
    <w:rsid w:val="005C7929"/>
    <w:rsid w:val="005D3347"/>
    <w:rsid w:val="0065086A"/>
    <w:rsid w:val="007265D0"/>
    <w:rsid w:val="00730CF0"/>
    <w:rsid w:val="00732E22"/>
    <w:rsid w:val="00741C20"/>
    <w:rsid w:val="007474B7"/>
    <w:rsid w:val="00751C13"/>
    <w:rsid w:val="007546F1"/>
    <w:rsid w:val="00775331"/>
    <w:rsid w:val="0078735A"/>
    <w:rsid w:val="007951FF"/>
    <w:rsid w:val="007D3A8F"/>
    <w:rsid w:val="007E0F6D"/>
    <w:rsid w:val="007F44F4"/>
    <w:rsid w:val="007F7E18"/>
    <w:rsid w:val="0086086C"/>
    <w:rsid w:val="00862A05"/>
    <w:rsid w:val="008632DB"/>
    <w:rsid w:val="008B63A9"/>
    <w:rsid w:val="00904077"/>
    <w:rsid w:val="00913980"/>
    <w:rsid w:val="00930C65"/>
    <w:rsid w:val="00937A4A"/>
    <w:rsid w:val="00954467"/>
    <w:rsid w:val="00992AC7"/>
    <w:rsid w:val="009D196B"/>
    <w:rsid w:val="00A01A2F"/>
    <w:rsid w:val="00A31A7D"/>
    <w:rsid w:val="00A57511"/>
    <w:rsid w:val="00A74010"/>
    <w:rsid w:val="00AF6237"/>
    <w:rsid w:val="00B704F9"/>
    <w:rsid w:val="00B71649"/>
    <w:rsid w:val="00B9422F"/>
    <w:rsid w:val="00B95A06"/>
    <w:rsid w:val="00BE69B6"/>
    <w:rsid w:val="00C353FD"/>
    <w:rsid w:val="00C45FA7"/>
    <w:rsid w:val="00C53E0A"/>
    <w:rsid w:val="00C75E67"/>
    <w:rsid w:val="00C93FD5"/>
    <w:rsid w:val="00CB1501"/>
    <w:rsid w:val="00CC19DD"/>
    <w:rsid w:val="00CC4705"/>
    <w:rsid w:val="00CD7A50"/>
    <w:rsid w:val="00CF0D8A"/>
    <w:rsid w:val="00D1167F"/>
    <w:rsid w:val="00D6589B"/>
    <w:rsid w:val="00DC2B10"/>
    <w:rsid w:val="00E15CF7"/>
    <w:rsid w:val="00E20CFE"/>
    <w:rsid w:val="00E67B35"/>
    <w:rsid w:val="00EB7668"/>
    <w:rsid w:val="00EB7CAB"/>
    <w:rsid w:val="00EC60AE"/>
    <w:rsid w:val="00EF722E"/>
    <w:rsid w:val="00F24A8A"/>
    <w:rsid w:val="00F24C54"/>
    <w:rsid w:val="00F45B99"/>
    <w:rsid w:val="00F94D48"/>
    <w:rsid w:val="00FA5B90"/>
    <w:rsid w:val="00FB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711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63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47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70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705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705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484C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dpcqld.sharepoint.com/sites/DPC-CABINETSERVICES/Shared%20Documents/General/Proactive%20Release/ToBeProcessed/2022/Nov/WSJTReport2/Attachments/Respons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SharePoint\Word%20Templates%20-%20Documents\DPC\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Props1.xml><?xml version="1.0" encoding="utf-8"?>
<ds:datastoreItem xmlns:ds="http://schemas.openxmlformats.org/officeDocument/2006/customXml" ds:itemID="{892A1756-D82B-4D23-A7B1-C3E40BE37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DAFE8-8EBC-4A19-8F84-1DB5AA4F2A92}">
  <ds:schemaRefs>
    <ds:schemaRef ds:uri="http://purl.org/dc/terms/"/>
    <ds:schemaRef ds:uri="63e311de-a790-43ff-be63-577c26c7507c"/>
    <ds:schemaRef ds:uri="http://schemas.microsoft.com/office/2006/documentManagement/types"/>
    <ds:schemaRef ds:uri="http://purl.org/dc/elements/1.1/"/>
    <ds:schemaRef ds:uri="b8ed82f2-f7bd-423c-8698-5e132afe924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- Attachment - Proactive Release Summary.dotx</Template>
  <TotalTime>8</TotalTime>
  <Pages>1</Pages>
  <Words>212</Words>
  <Characters>1329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Base>https://www.cabinet.qld.gov.au/documents/2022/Nov/WSJTReport2/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11</cp:revision>
  <dcterms:created xsi:type="dcterms:W3CDTF">2022-11-18T08:39:00Z</dcterms:created>
  <dcterms:modified xsi:type="dcterms:W3CDTF">2024-09-17T01:18:00Z</dcterms:modified>
  <cp:category>Justice,Safety,Women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MediaServiceImageTags">
    <vt:lpwstr/>
  </property>
</Properties>
</file>